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961640" cy="4876165"/>
            <wp:effectExtent l="0" t="0" r="1016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4876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954655" cy="3645535"/>
            <wp:effectExtent l="0" t="0" r="1714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3645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eastAsia="zh-CN"/>
        </w:rPr>
        <w:t>具体申办流程及表格填写</w:t>
      </w:r>
      <w:bookmarkStart w:id="0" w:name="_GoBack"/>
      <w:bookmarkEnd w:id="0"/>
      <w:r>
        <w:rPr>
          <w:rFonts w:hint="eastAsia"/>
          <w:lang w:eastAsia="zh-CN"/>
        </w:rPr>
        <w:t>参见</w:t>
      </w:r>
      <w:r>
        <w:rPr>
          <w:rFonts w:hint="eastAsia"/>
        </w:rPr>
        <w:t>http://www2.ouc.edu.cn/international/article/268.html</w:t>
      </w:r>
      <w:r>
        <w:rPr>
          <w:rFonts w:hint="eastAsia"/>
          <w:lang w:eastAsia="zh-CN"/>
        </w:rPr>
        <w:t>，国家公派学生、学生单位公派长期出国（境）（3个月以上，出境28天以上）、学生单位公派短期出国（境）（3个月以下，出境28天以下）各类别均有详细说明。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B0311"/>
    <w:rsid w:val="345351FC"/>
    <w:rsid w:val="462C5DEB"/>
    <w:rsid w:val="47CF0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2017-06-19T01:44:42Z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